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6E23F1" w:rsidP="006E23F1">
      <w:pPr>
        <w:suppressAutoHyphens w:val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</w:t>
      </w:r>
      <w:r w:rsidR="001170EC" w:rsidRPr="00762DE1">
        <w:rPr>
          <w:rFonts w:ascii="Calibri" w:hAnsi="Calibri" w:cs="Times New Roman"/>
          <w:b/>
        </w:rPr>
        <w:t xml:space="preserve"> </w:t>
      </w:r>
      <w:r w:rsidR="00A3412B" w:rsidRPr="00762DE1">
        <w:rPr>
          <w:rFonts w:ascii="Calibri" w:hAnsi="Calibri" w:cs="Times New Roman"/>
          <w:b/>
        </w:rPr>
        <w:t>Wymagania na poszczególne oceny</w:t>
      </w:r>
      <w:r>
        <w:rPr>
          <w:rFonts w:ascii="Calibri" w:hAnsi="Calibri" w:cs="Times New Roman"/>
          <w:b/>
        </w:rPr>
        <w:t xml:space="preserve"> z historii w klasie 7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</w:t>
            </w:r>
            <w:proofErr w:type="spellEnd"/>
            <w:r w:rsidR="007C19B4" w:rsidRPr="00CF5C8C">
              <w:rPr>
                <w:rFonts w:ascii="Calibri" w:hAnsi="Calibri"/>
                <w:spacing w:val="-4"/>
                <w:kern w:val="24"/>
              </w:rPr>
              <w:t xml:space="preserve">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 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</w:t>
            </w:r>
            <w:proofErr w:type="spellEnd"/>
            <w:r w:rsidR="00136A41" w:rsidRPr="00762DE1">
              <w:rPr>
                <w:rFonts w:ascii="Calibri" w:hAnsi="Calibri" w:cs="HelveticaNeueLTPro-Roman"/>
              </w:rPr>
              <w:t xml:space="preserve">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Comte’a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</w:t>
            </w:r>
            <w:proofErr w:type="spellEnd"/>
            <w:r w:rsidRPr="00C90666">
              <w:rPr>
                <w:rFonts w:ascii="Calibri" w:hAnsi="Calibri" w:cs="HelveticaNeueLTPro-Roman"/>
              </w:rPr>
              <w:t>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</w:t>
            </w:r>
            <w:proofErr w:type="spellEnd"/>
            <w:r w:rsidR="007F28F8" w:rsidRPr="007F28F8">
              <w:rPr>
                <w:rFonts w:ascii="Calibri" w:hAnsi="Calibri"/>
              </w:rPr>
              <w:t>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terminu </w:t>
            </w:r>
            <w:proofErr w:type="spellStart"/>
            <w:r w:rsidRPr="00267889">
              <w:rPr>
                <w:rFonts w:ascii="Calibri" w:hAnsi="Calibri" w:cs="HelveticaNeueLTPro-Roman"/>
              </w:rPr>
              <w:t>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6E23F1">
              <w:rPr>
                <w:rFonts w:ascii="Calibri" w:hAnsi="Calibri" w:cs="HelveticaNeueLTPro-Roman"/>
              </w:rPr>
              <w:t xml:space="preserve">I </w:t>
            </w:r>
            <w:r w:rsidRPr="006E23F1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6E23F1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6E23F1">
              <w:rPr>
                <w:rFonts w:ascii="Calibri" w:hAnsi="Calibri" w:cs="HelveticaNeueLTPro-Roman"/>
              </w:rPr>
              <w:t xml:space="preserve"> Paula von </w:t>
            </w:r>
            <w:r w:rsidR="009331DE" w:rsidRPr="006E23F1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  <w:proofErr w:type="spellEnd"/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wskazuje cele ich </w:t>
            </w:r>
            <w:r w:rsidR="009331DE" w:rsidRPr="00267889">
              <w:rPr>
                <w:rFonts w:ascii="Calibri" w:hAnsi="Calibri" w:cs="Times New Roman"/>
              </w:rPr>
              <w:lastRenderedPageBreak/>
              <w:t>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(1916),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Rokitną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(1915), kryzysu przysięgowego (VII 1917), bitwy pod Kaniowem (1918), </w:t>
            </w:r>
            <w:r w:rsidRPr="00267889">
              <w:rPr>
                <w:rFonts w:ascii="Calibri" w:hAnsi="Calibri" w:cs="HelveticaNeueLTPro-Roman"/>
              </w:rPr>
              <w:lastRenderedPageBreak/>
              <w:t>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wybuchu rewolucji lutowej (8 III 1917), wybuchu rewolucji 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dwuwładza, bolszewicy, tezy kwietniowe, Rada Komisarzy Ludowych, Armia Czerwona, łagry, 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konstytucji (VII 1918), </w:t>
            </w:r>
            <w:r w:rsidRPr="00267889">
              <w:rPr>
                <w:rFonts w:ascii="Calibri" w:hAnsi="Calibri" w:cs="HelveticaNeueLTPro-Roman"/>
              </w:rPr>
              <w:lastRenderedPageBreak/>
              <w:t>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</w:t>
            </w:r>
            <w:proofErr w:type="spellStart"/>
            <w:r w:rsidRPr="00267889">
              <w:rPr>
                <w:rFonts w:ascii="Calibri" w:hAnsi="Calibri" w:cs="HelveticaNeueLTPro-Roman"/>
              </w:rPr>
              <w:t>Beselera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</w:t>
            </w:r>
            <w:proofErr w:type="spellEnd"/>
            <w:r w:rsidR="009331DE" w:rsidRPr="00267889">
              <w:rPr>
                <w:rFonts w:ascii="Calibri" w:hAnsi="Calibri" w:cs="Times New Roman"/>
              </w:rPr>
              <w:t>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antysemityzm,  </w:t>
            </w:r>
            <w:proofErr w:type="spellStart"/>
            <w:r w:rsidRPr="00267889">
              <w:rPr>
                <w:rFonts w:ascii="Calibri" w:hAnsi="Calibri" w:cs="HelveticaNeueLTPro-Roman"/>
              </w:rPr>
              <w:t>führer</w:t>
            </w:r>
            <w:proofErr w:type="spellEnd"/>
            <w:r w:rsidRPr="00267889">
              <w:rPr>
                <w:rFonts w:ascii="Calibri" w:hAnsi="Calibri" w:cs="HelveticaNeueLTPro-Roman"/>
              </w:rPr>
              <w:t>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Benita Mussoliniego, Adolfa </w:t>
            </w:r>
            <w:r w:rsidRPr="00267889">
              <w:rPr>
                <w:rFonts w:ascii="Calibri" w:hAnsi="Calibri" w:cs="HelveticaNeueLTPro-Roman"/>
              </w:rPr>
              <w:lastRenderedPageBreak/>
              <w:t>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paktów laterańskich 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</w:t>
            </w:r>
            <w:r w:rsidRPr="00267889">
              <w:rPr>
                <w:rFonts w:ascii="Calibri" w:hAnsi="Calibri" w:cs="HelveticaNeueLTPro-Roman"/>
              </w:rPr>
              <w:lastRenderedPageBreak/>
              <w:t>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Reichstagu (II 1933), przejęcia pełnej władzy w Niemczech </w:t>
            </w:r>
            <w:r w:rsidRPr="00267889">
              <w:rPr>
                <w:rFonts w:ascii="Calibri" w:hAnsi="Calibri" w:cs="HelveticaNeueLTPro-Roman"/>
              </w:rPr>
              <w:lastRenderedPageBreak/>
              <w:t>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wersalskiego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lastRenderedPageBreak/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>nych układu 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</w:t>
            </w:r>
            <w:r w:rsidR="009331DE">
              <w:rPr>
                <w:rFonts w:asciiTheme="minorHAnsi" w:hAnsiTheme="minorHAnsi" w:cstheme="minorHAnsi"/>
              </w:rPr>
              <w:lastRenderedPageBreak/>
              <w:t>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lastRenderedPageBreak/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267889">
              <w:rPr>
                <w:rFonts w:asciiTheme="minorHAnsi" w:hAnsiTheme="minorHAnsi" w:cstheme="minorHAnsi"/>
              </w:rPr>
              <w:t>Anschluss</w:t>
            </w:r>
            <w:proofErr w:type="spellEnd"/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zna daty </w:t>
            </w:r>
            <w:proofErr w:type="spellStart"/>
            <w:r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  <w:r w:rsidRPr="00267889">
              <w:rPr>
                <w:rFonts w:asciiTheme="minorHAnsi" w:hAnsiTheme="minorHAnsi" w:cstheme="minorHAnsi"/>
              </w:rPr>
              <w:lastRenderedPageBreak/>
              <w:t>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267889">
              <w:rPr>
                <w:rFonts w:asciiTheme="minorHAnsi" w:hAnsiTheme="minorHAnsi" w:cstheme="minorHAnsi"/>
              </w:rPr>
              <w:t>Neville’a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Chamberlaina,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</w:t>
            </w:r>
            <w:r w:rsidRPr="00267889">
              <w:rPr>
                <w:rFonts w:asciiTheme="minorHAnsi" w:hAnsiTheme="minorHAnsi" w:cstheme="minorHAnsi"/>
              </w:rPr>
              <w:lastRenderedPageBreak/>
              <w:t>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appeasementu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Ignacego </w:t>
            </w:r>
            <w:r w:rsidRPr="00B5010D">
              <w:rPr>
                <w:rFonts w:asciiTheme="minorHAnsi" w:hAnsiTheme="minorHAnsi" w:cstheme="minorHAnsi"/>
              </w:rPr>
              <w:lastRenderedPageBreak/>
              <w:t>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Petlurą (IV 1920), bitwy pod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Zadwórznem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(1920), powołania Rady Obrony Państwa (VII </w:t>
            </w:r>
            <w:r w:rsidRPr="00B5010D">
              <w:rPr>
                <w:rFonts w:asciiTheme="minorHAnsi" w:hAnsiTheme="minorHAnsi" w:cstheme="minorHAnsi"/>
              </w:rPr>
              <w:lastRenderedPageBreak/>
              <w:t>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Rewolucyjnego Polski (VII 1920), przekazania Wilna </w:t>
            </w:r>
            <w:r w:rsidRPr="00B5010D">
              <w:rPr>
                <w:rFonts w:asciiTheme="minorHAnsi" w:hAnsiTheme="minorHAnsi" w:cstheme="minorHAnsi"/>
              </w:rPr>
              <w:lastRenderedPageBreak/>
              <w:t>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postać 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lastRenderedPageBreak/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(27 </w:t>
            </w:r>
            <w:r w:rsidRPr="00B5010D">
              <w:rPr>
                <w:rFonts w:asciiTheme="minorHAnsi" w:hAnsiTheme="minorHAnsi" w:cstheme="minorHAnsi"/>
              </w:rPr>
              <w:lastRenderedPageBreak/>
              <w:t>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(11 VII 1920), plebiscytu na </w:t>
            </w:r>
            <w:r w:rsidRPr="00B5010D">
              <w:rPr>
                <w:rFonts w:asciiTheme="minorHAnsi" w:hAnsiTheme="minorHAnsi" w:cstheme="minorHAnsi"/>
              </w:rPr>
              <w:lastRenderedPageBreak/>
              <w:t>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 xml:space="preserve">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przybycia I. J. Paderewskiego </w:t>
            </w:r>
            <w:r w:rsidRPr="00B5010D">
              <w:rPr>
                <w:rFonts w:asciiTheme="minorHAnsi" w:hAnsiTheme="minorHAnsi" w:cstheme="minorHAnsi"/>
              </w:rPr>
              <w:lastRenderedPageBreak/>
              <w:t>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Jana Baudouin de </w:t>
            </w:r>
            <w:proofErr w:type="spellStart"/>
            <w:r w:rsidRPr="00AF2B90">
              <w:rPr>
                <w:rFonts w:asciiTheme="minorHAnsi" w:hAnsiTheme="minorHAnsi" w:cstheme="minorHAnsi"/>
              </w:rPr>
              <w:t>Courtenaya</w:t>
            </w:r>
            <w:proofErr w:type="spellEnd"/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lastRenderedPageBreak/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sierpniowej (2 VIII 1926), powstania </w:t>
            </w:r>
            <w:r w:rsidRPr="00AF2B90">
              <w:rPr>
                <w:rFonts w:asciiTheme="minorHAnsi" w:hAnsiTheme="minorHAnsi" w:cstheme="minorHAnsi"/>
              </w:rPr>
              <w:lastRenderedPageBreak/>
              <w:t>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Kazimierza </w:t>
            </w:r>
            <w:r w:rsidRPr="00AF2B90">
              <w:rPr>
                <w:rFonts w:asciiTheme="minorHAnsi" w:hAnsiTheme="minorHAnsi" w:cstheme="minorHAnsi"/>
              </w:rPr>
              <w:lastRenderedPageBreak/>
              <w:t>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Reforma </w:t>
            </w:r>
            <w:r w:rsidRPr="00F57762">
              <w:rPr>
                <w:rFonts w:ascii="Calibri" w:hAnsi="Calibri" w:cs="HelveticaNeueLTPro-Roman"/>
              </w:rPr>
              <w:lastRenderedPageBreak/>
              <w:t>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Gdyni (1921),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 xml:space="preserve">Polityka wobec </w:t>
            </w:r>
            <w:r w:rsidRPr="00142B8B">
              <w:rPr>
                <w:rFonts w:ascii="Calibri" w:hAnsi="Calibri" w:cs="HelveticaNeueLTPro-Roman"/>
              </w:rPr>
              <w:lastRenderedPageBreak/>
              <w:t>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</w:t>
            </w:r>
            <w:r w:rsidR="009331DE">
              <w:rPr>
                <w:rFonts w:asciiTheme="minorHAnsi" w:hAnsiTheme="minorHAnsi" w:cstheme="minorHAnsi"/>
              </w:rPr>
              <w:lastRenderedPageBreak/>
              <w:t>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lastRenderedPageBreak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w dwudziestoleciu </w:t>
            </w:r>
            <w:r w:rsidRPr="00952E2C">
              <w:rPr>
                <w:rFonts w:asciiTheme="minorHAnsi" w:hAnsiTheme="minorHAnsi" w:cstheme="minorHAnsi"/>
              </w:rPr>
              <w:lastRenderedPageBreak/>
              <w:t>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proofErr w:type="spellStart"/>
            <w:r w:rsidRPr="00952E2C">
              <w:rPr>
                <w:rFonts w:asciiTheme="minorHAnsi" w:hAnsiTheme="minorHAnsi" w:cstheme="minorHAnsi"/>
                <w:i/>
              </w:rPr>
              <w:t>art</w:t>
            </w:r>
            <w:proofErr w:type="spellEnd"/>
            <w:r w:rsidRPr="00952E2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52E2C">
              <w:rPr>
                <w:rFonts w:asciiTheme="minorHAnsi" w:hAnsiTheme="minorHAnsi" w:cstheme="minorHAnsi"/>
                <w:i/>
              </w:rPr>
              <w:t>déco</w:t>
            </w:r>
            <w:proofErr w:type="spellEnd"/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Tadeusza </w:t>
            </w:r>
            <w:r w:rsidRPr="00952E2C">
              <w:rPr>
                <w:rFonts w:asciiTheme="minorHAnsi" w:hAnsiTheme="minorHAnsi" w:cstheme="minorHAnsi"/>
              </w:rPr>
              <w:lastRenderedPageBreak/>
              <w:t>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niemieckiej deklaracji o </w:t>
            </w:r>
            <w:r w:rsidRPr="004B4062">
              <w:rPr>
                <w:rFonts w:asciiTheme="minorHAnsi" w:hAnsiTheme="minorHAnsi" w:cstheme="minorHAnsi"/>
              </w:rPr>
              <w:lastRenderedPageBreak/>
              <w:t>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</w:t>
            </w:r>
            <w:bookmarkStart w:id="0" w:name="_GoBack"/>
            <w:bookmarkEnd w:id="0"/>
            <w:r w:rsidR="009331DE" w:rsidRPr="00AF69F0">
              <w:rPr>
                <w:rFonts w:ascii="Calibri" w:hAnsi="Calibri" w:cs="HelveticaNeueLTPro-Roman"/>
              </w:rPr>
              <w:t>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paktu Ribbentrop–Mołotow (23 VIII 1939), </w:t>
            </w:r>
            <w:proofErr w:type="spellStart"/>
            <w:r w:rsidRPr="004B4062">
              <w:rPr>
                <w:rFonts w:asciiTheme="minorHAnsi" w:hAnsiTheme="minorHAnsi" w:cstheme="minorHAnsi"/>
              </w:rPr>
              <w:t>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</w:t>
            </w:r>
            <w:proofErr w:type="spellEnd"/>
            <w:r w:rsidRPr="004B4062">
              <w:rPr>
                <w:rFonts w:asciiTheme="minorHAnsi" w:hAnsiTheme="minorHAnsi" w:cstheme="minorHAnsi"/>
              </w:rPr>
              <w:t xml:space="preserve"> sojuszu </w:t>
            </w:r>
            <w:proofErr w:type="spellStart"/>
            <w:r w:rsidRPr="004B4062">
              <w:rPr>
                <w:rFonts w:asciiTheme="minorHAnsi" w:hAnsiTheme="minorHAnsi" w:cstheme="minorHAnsi"/>
              </w:rPr>
              <w:t>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</w:t>
            </w:r>
            <w:proofErr w:type="spellEnd"/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raz pierwszy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>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(III 1939), przemówienia sejmowego J. Becka </w:t>
            </w:r>
            <w:r w:rsidRPr="004B4062">
              <w:rPr>
                <w:rFonts w:asciiTheme="minorHAnsi" w:hAnsiTheme="minorHAnsi" w:cstheme="minorHAnsi"/>
              </w:rPr>
              <w:lastRenderedPageBreak/>
              <w:t>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16" w:rsidRDefault="00643716" w:rsidP="00495CA6">
      <w:r>
        <w:separator/>
      </w:r>
    </w:p>
  </w:endnote>
  <w:endnote w:type="continuationSeparator" w:id="0">
    <w:p w:rsidR="00643716" w:rsidRDefault="00643716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A2" w:rsidRDefault="00A16037">
    <w:pPr>
      <w:pStyle w:val="Stopka"/>
      <w:jc w:val="center"/>
    </w:pPr>
    <w:r>
      <w:fldChar w:fldCharType="begin"/>
    </w:r>
    <w:r w:rsidR="00772DA2">
      <w:instrText>PAGE   \* MERGEFORMAT</w:instrText>
    </w:r>
    <w:r>
      <w:fldChar w:fldCharType="separate"/>
    </w:r>
    <w:r w:rsidR="006E23F1">
      <w:rPr>
        <w:noProof/>
      </w:rPr>
      <w:t>1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16" w:rsidRDefault="00643716" w:rsidP="00495CA6">
      <w:r>
        <w:separator/>
      </w:r>
    </w:p>
  </w:footnote>
  <w:footnote w:type="continuationSeparator" w:id="0">
    <w:p w:rsidR="00643716" w:rsidRDefault="00643716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23F1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037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062B-CA0D-472E-ABE0-FC4022F0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50</Pages>
  <Words>12649</Words>
  <Characters>75898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asus</cp:lastModifiedBy>
  <cp:revision>447</cp:revision>
  <cp:lastPrinted>2012-06-08T11:25:00Z</cp:lastPrinted>
  <dcterms:created xsi:type="dcterms:W3CDTF">2017-08-29T07:23:00Z</dcterms:created>
  <dcterms:modified xsi:type="dcterms:W3CDTF">2017-09-03T19:11:00Z</dcterms:modified>
</cp:coreProperties>
</file>